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F8" w:rsidRPr="00A34708" w:rsidRDefault="002B67F8" w:rsidP="002B67F8">
      <w:pPr>
        <w:spacing w:after="200"/>
        <w:jc w:val="both"/>
        <w:rPr>
          <w:b/>
          <w:sz w:val="28"/>
        </w:rPr>
      </w:pPr>
      <w:r w:rsidRPr="00A34708">
        <w:rPr>
          <w:b/>
          <w:sz w:val="28"/>
        </w:rPr>
        <w:t>Čo má obsahovať projektová dokumentácia na výsadbu ovocného sadu?</w:t>
      </w:r>
    </w:p>
    <w:p w:rsidR="002B67F8" w:rsidRDefault="002B67F8" w:rsidP="002B67F8">
      <w:pPr>
        <w:spacing w:after="200"/>
        <w:jc w:val="both"/>
        <w:rPr>
          <w:b/>
        </w:rPr>
      </w:pPr>
    </w:p>
    <w:p w:rsidR="002B67F8" w:rsidRPr="008565D2" w:rsidRDefault="002B67F8" w:rsidP="002B67F8">
      <w:pPr>
        <w:spacing w:after="200"/>
        <w:jc w:val="both"/>
      </w:pPr>
      <w:r w:rsidRPr="000A770A">
        <w:rPr>
          <w:b/>
        </w:rPr>
        <w:t>Ovocný sad</w:t>
      </w:r>
      <w:r w:rsidRPr="000A770A">
        <w:t xml:space="preserve"> je poľnohospodársky obhospodarovaná pôda so súvislou výsadbou jedného alebo viacerých ovocných druhov s minimálnou hustotou 100 ks životaschopných ovocných stromov na 1 hektár alebo 900 ks životaschopných ovocných krov na 1 hektár.</w:t>
      </w:r>
      <w:r w:rsidRPr="008565D2">
        <w:t xml:space="preserve"> K tejto obhospodarovanej trvalej výsadbe sa pripočíta súvislý manipulačný priestor, ktorý nepresahuje 12 metrov na začiatku a konci riadkov a 8 metrov po stranách pozdĺžne vysadených radov stromov a  krov, ak tento priestor netvorí  súčasť cesty alebo nepresiahne obvyklú  hranicu oplotenia ovocného sadu. Maximálna šírka </w:t>
      </w:r>
      <w:proofErr w:type="spellStart"/>
      <w:r w:rsidRPr="008565D2">
        <w:t>medziradia</w:t>
      </w:r>
      <w:proofErr w:type="spellEnd"/>
      <w:r w:rsidRPr="008565D2">
        <w:t xml:space="preserve"> podľa ovocných druhov môže byť 12 metrov u ovocných stromov a  5 metrov u ovocných krov. Pri terasovom spôsobe pestovania sa svah započítava do šírky </w:t>
      </w:r>
      <w:proofErr w:type="spellStart"/>
      <w:r w:rsidRPr="008565D2">
        <w:t>medziradia</w:t>
      </w:r>
      <w:proofErr w:type="spellEnd"/>
      <w:r w:rsidRPr="008565D2">
        <w:t xml:space="preserve">. Za ovocné sady sa nepovažujú výsadby podpníkov a množiteľských materiálov ovocných drevín. </w:t>
      </w:r>
    </w:p>
    <w:p w:rsidR="002B67F8" w:rsidRPr="008565D2" w:rsidRDefault="002B67F8" w:rsidP="002B67F8">
      <w:pPr>
        <w:tabs>
          <w:tab w:val="left" w:pos="1276"/>
        </w:tabs>
        <w:spacing w:after="200"/>
        <w:jc w:val="both"/>
      </w:pPr>
      <w:r w:rsidRPr="00FB7F32">
        <w:rPr>
          <w:b/>
        </w:rPr>
        <w:t>Intenzívny ovocný sad –</w:t>
      </w:r>
      <w:r w:rsidRPr="00FB7F32">
        <w:t xml:space="preserve"> m</w:t>
      </w:r>
      <w:r>
        <w:t xml:space="preserve">á </w:t>
      </w:r>
      <w:r w:rsidRPr="008565D2">
        <w:t xml:space="preserve">spravidla nízke tvary a vysoký počet jedincov na ha. </w:t>
      </w:r>
      <w:r>
        <w:t>Je v dobrej kondícii a je</w:t>
      </w:r>
      <w:r w:rsidRPr="008565D2">
        <w:t xml:space="preserve"> ošetrovan</w:t>
      </w:r>
      <w:r>
        <w:t>ý</w:t>
      </w:r>
      <w:r w:rsidRPr="008565D2">
        <w:t xml:space="preserve"> podľa agrotechnických zásad</w:t>
      </w:r>
      <w:r>
        <w:t xml:space="preserve"> s vysokými a pravidelnými úrodami</w:t>
      </w:r>
      <w:r w:rsidRPr="008565D2">
        <w:t>. Intenzívn</w:t>
      </w:r>
      <w:r>
        <w:t xml:space="preserve">e ovocné sady sú sady produkčné a sú zaraďované spravidla do úrovne agrotechniky 9 (veľmi dobrá) až 5 (priemerná). </w:t>
      </w:r>
      <w:r w:rsidRPr="008565D2">
        <w:t xml:space="preserve">Ak intenzívny ovocný sad nespĺňa uvedené podmienky, </w:t>
      </w:r>
      <w:r>
        <w:t>je</w:t>
      </w:r>
      <w:r w:rsidRPr="008565D2">
        <w:t xml:space="preserve"> p</w:t>
      </w:r>
      <w:r>
        <w:t xml:space="preserve">reradený do kategórie „extenzívny sad“. </w:t>
      </w:r>
      <w:r w:rsidRPr="008565D2">
        <w:t>Produkčnou výsadbou sa rozumie výsadba, ktorá dosahuje minimálne úrody na úrovni ročného ce</w:t>
      </w:r>
      <w:r>
        <w:t xml:space="preserve">loštátneho priemeru. </w:t>
      </w:r>
      <w:r w:rsidRPr="008565D2">
        <w:t>Táto podmienka neplatí pri „VIS MAJOR“.</w:t>
      </w:r>
    </w:p>
    <w:p w:rsidR="002B67F8" w:rsidRPr="008565D2" w:rsidRDefault="002B67F8" w:rsidP="002B67F8">
      <w:pPr>
        <w:spacing w:after="200"/>
        <w:jc w:val="both"/>
      </w:pPr>
      <w:r w:rsidRPr="00FB7F32">
        <w:rPr>
          <w:b/>
        </w:rPr>
        <w:t xml:space="preserve">Extenzívny ovocný sad </w:t>
      </w:r>
      <w:r w:rsidRPr="00FB7F32">
        <w:t>– má</w:t>
      </w:r>
      <w:r w:rsidRPr="00FB7F32">
        <w:rPr>
          <w:u w:val="single"/>
        </w:rPr>
        <w:t xml:space="preserve"> </w:t>
      </w:r>
      <w:r w:rsidRPr="00FB7F32">
        <w:t>spravidla</w:t>
      </w:r>
      <w:r w:rsidRPr="008565D2">
        <w:t xml:space="preserve"> vyššie tvary a ni</w:t>
      </w:r>
      <w:r>
        <w:t>žší počet jedincov na ha.</w:t>
      </w:r>
      <w:r w:rsidRPr="008565D2">
        <w:t xml:space="preserve"> </w:t>
      </w:r>
      <w:r>
        <w:t>Extenzívne ovocné sady môžu byť produkčné i neprodukčné a sú zaraďované spravidla do úrovne agrotechniky 3 (nízka) až 1 (žiadna)</w:t>
      </w:r>
      <w:r w:rsidRPr="008565D2">
        <w:t>. Extenzívnym spôsobom sa môžu zakladať aj nové ovocné výsadby.</w:t>
      </w:r>
    </w:p>
    <w:p w:rsidR="002B67F8" w:rsidRPr="001A17BA" w:rsidRDefault="002B67F8" w:rsidP="002B67F8">
      <w:pPr>
        <w:spacing w:after="200"/>
        <w:jc w:val="both"/>
      </w:pPr>
      <w:r w:rsidRPr="001A17BA">
        <w:rPr>
          <w:b/>
        </w:rPr>
        <w:t>Celková výmera sadu</w:t>
      </w:r>
      <w:r w:rsidRPr="001A17BA">
        <w:t xml:space="preserve"> je tvorená z produkčnej plochy a manipulačných plôch, ktoré sú využité pri ošetrovaní sadu, prejazdoch a otáčaní mechanizácie. Celková výmera je obvykle tvorená hranicou oplotenia sadu.</w:t>
      </w:r>
    </w:p>
    <w:p w:rsidR="002B67F8" w:rsidRPr="001A17BA" w:rsidRDefault="002B67F8" w:rsidP="002B67F8">
      <w:pPr>
        <w:spacing w:after="200"/>
        <w:jc w:val="both"/>
        <w:rPr>
          <w:bCs/>
        </w:rPr>
      </w:pPr>
      <w:r w:rsidRPr="001A17BA">
        <w:rPr>
          <w:b/>
        </w:rPr>
        <w:t xml:space="preserve">Produkčná výmera </w:t>
      </w:r>
      <w:r w:rsidRPr="001A17BA">
        <w:rPr>
          <w:b/>
          <w:bCs/>
        </w:rPr>
        <w:t xml:space="preserve">sadu: </w:t>
      </w:r>
      <w:r w:rsidRPr="001A17BA">
        <w:rPr>
          <w:bCs/>
        </w:rPr>
        <w:t xml:space="preserve">je obhospodarovaná plocha vysadená homogénnym porastom príslušnej trvalej plodiny a je tvorená obvodom výsadby s priradením </w:t>
      </w:r>
      <w:proofErr w:type="spellStart"/>
      <w:r w:rsidRPr="001A17BA">
        <w:rPr>
          <w:bCs/>
        </w:rPr>
        <w:t>obratlísk</w:t>
      </w:r>
      <w:proofErr w:type="spellEnd"/>
      <w:r w:rsidRPr="001A17BA">
        <w:rPr>
          <w:bCs/>
        </w:rPr>
        <w:t xml:space="preserve">, ktoré nepresiahnu 12 metrov na začiatku </w:t>
      </w:r>
      <w:r w:rsidRPr="001A17BA">
        <w:t>a 8 metrov po stranách pozdĺžne vysadených radov stromov a  krov, ak tento priestor netvorí  súčasť cesty alebo  nepresiahne obvyklú  hranicu oplotenia ovocného sadu</w:t>
      </w:r>
      <w:r w:rsidRPr="001A17BA">
        <w:rPr>
          <w:bCs/>
        </w:rPr>
        <w:t xml:space="preserve">. </w:t>
      </w:r>
    </w:p>
    <w:p w:rsidR="002B67F8" w:rsidRDefault="002B67F8" w:rsidP="002B67F8">
      <w:pPr>
        <w:spacing w:after="200" w:line="259" w:lineRule="auto"/>
        <w:jc w:val="both"/>
        <w:rPr>
          <w:bCs/>
        </w:rPr>
      </w:pPr>
      <w:r w:rsidRPr="001A17BA">
        <w:rPr>
          <w:b/>
          <w:bCs/>
        </w:rPr>
        <w:t>Manipulačná plocha</w:t>
      </w:r>
      <w:r w:rsidRPr="001A17BA">
        <w:rPr>
          <w:bCs/>
        </w:rPr>
        <w:t xml:space="preserve"> je plocha nad rámec produkčnej výmery, ktorá je priradená k sadu a využíva sa pri obhospodarovaní</w:t>
      </w:r>
      <w:r w:rsidRPr="008565D2">
        <w:rPr>
          <w:bCs/>
        </w:rPr>
        <w:t xml:space="preserve"> plodiny. Zvyčajne tvorí hranicu oplotenia.</w:t>
      </w:r>
    </w:p>
    <w:p w:rsidR="002B67F8" w:rsidRPr="002B67F8" w:rsidRDefault="002B67F8" w:rsidP="002B67F8">
      <w:pPr>
        <w:pStyle w:val="tlNadpis1"/>
        <w:numPr>
          <w:ilvl w:val="0"/>
          <w:numId w:val="0"/>
        </w:numPr>
        <w:rPr>
          <w:sz w:val="24"/>
        </w:rPr>
      </w:pPr>
      <w:r w:rsidRPr="002B67F8">
        <w:rPr>
          <w:sz w:val="24"/>
        </w:rPr>
        <w:t xml:space="preserve">Legislatíva </w:t>
      </w:r>
    </w:p>
    <w:p w:rsidR="002B67F8" w:rsidRPr="005E1285" w:rsidRDefault="002B67F8" w:rsidP="002B67F8">
      <w:pPr>
        <w:spacing w:after="200"/>
        <w:jc w:val="both"/>
      </w:pPr>
      <w:r w:rsidRPr="005E1285">
        <w:t>Nariadenie vlády SR č. 238/2010 Z. z., ktorým sa ustanovujú podrobnosti prenajímania, predaja, zámeny a nadobúdania nehnuteľnos</w:t>
      </w:r>
      <w:r>
        <w:t>tí Slovenským pozemkovým fondom</w:t>
      </w:r>
      <w:r w:rsidRPr="005E1285">
        <w:t xml:space="preserve"> </w:t>
      </w:r>
      <w:r>
        <w:t>(</w:t>
      </w:r>
      <w:r w:rsidRPr="005E1285">
        <w:t xml:space="preserve">v znení </w:t>
      </w:r>
      <w:r>
        <w:t>č 363/2012 Z. z.)</w:t>
      </w:r>
    </w:p>
    <w:p w:rsidR="002B67F8" w:rsidRDefault="002B67F8" w:rsidP="002B67F8">
      <w:pPr>
        <w:tabs>
          <w:tab w:val="left" w:pos="7740"/>
          <w:tab w:val="left" w:pos="8080"/>
        </w:tabs>
        <w:autoSpaceDE w:val="0"/>
        <w:autoSpaceDN w:val="0"/>
        <w:adjustRightInd w:val="0"/>
        <w:spacing w:after="200"/>
        <w:jc w:val="both"/>
      </w:pPr>
      <w:r w:rsidRPr="00C27078">
        <w:rPr>
          <w:rFonts w:eastAsia="Calibri"/>
          <w:bCs/>
          <w:lang w:eastAsia="en-US"/>
        </w:rPr>
        <w:t>Zákon č. 220/2004 Z. z. o ochrane a využívaní poľnohospodárskej pôdy a o zmene zákona č. 245/2003 Z. z. o integrovanej prevencii a kontrole znečisťovania životného prostredia a o zmene a doplnení niektorých zákonov v znení zákona</w:t>
      </w:r>
      <w:r w:rsidRPr="00C27078">
        <w:t xml:space="preserve"> č. 57/2013 Z. z.</w:t>
      </w:r>
    </w:p>
    <w:p w:rsidR="002B67F8" w:rsidRPr="00B5074F" w:rsidRDefault="002B67F8" w:rsidP="002B67F8">
      <w:pPr>
        <w:shd w:val="clear" w:color="auto" w:fill="FFFFFF"/>
        <w:spacing w:after="200"/>
        <w:jc w:val="both"/>
        <w:rPr>
          <w:bCs/>
        </w:rPr>
      </w:pPr>
      <w:r w:rsidRPr="00B5074F">
        <w:rPr>
          <w:bCs/>
        </w:rPr>
        <w:t xml:space="preserve">Vyhláška Ministerstva pôdohospodárstva a rozvoja vidieka Slovenskej republiky č. 59/2013 </w:t>
      </w:r>
      <w:proofErr w:type="spellStart"/>
      <w:r w:rsidRPr="00B5074F">
        <w:rPr>
          <w:bCs/>
        </w:rPr>
        <w:t>Z.z</w:t>
      </w:r>
      <w:proofErr w:type="spellEnd"/>
      <w:r w:rsidRPr="00B5074F">
        <w:rPr>
          <w:bCs/>
        </w:rPr>
        <w:t>.</w:t>
      </w:r>
      <w:r w:rsidRPr="00B5074F">
        <w:t xml:space="preserve">, </w:t>
      </w:r>
      <w:r w:rsidRPr="00B5074F">
        <w:rPr>
          <w:bCs/>
        </w:rPr>
        <w:t xml:space="preserve">ktorou sa mení a dopĺňa vyhláška Ministerstva pôdohospodárstva Slovenskej republiky </w:t>
      </w:r>
      <w:r w:rsidRPr="00B5074F">
        <w:rPr>
          <w:bCs/>
        </w:rPr>
        <w:lastRenderedPageBreak/>
        <w:t>č. </w:t>
      </w:r>
      <w:hyperlink r:id="rId5" w:history="1">
        <w:r w:rsidRPr="00B5074F">
          <w:rPr>
            <w:rStyle w:val="Hypertextovprepojenie"/>
            <w:bCs/>
          </w:rPr>
          <w:t xml:space="preserve">508/2004 </w:t>
        </w:r>
        <w:proofErr w:type="spellStart"/>
        <w:r w:rsidRPr="00B5074F">
          <w:rPr>
            <w:rStyle w:val="Hypertextovprepojenie"/>
            <w:bCs/>
          </w:rPr>
          <w:t>Z.z</w:t>
        </w:r>
        <w:proofErr w:type="spellEnd"/>
        <w:r w:rsidRPr="00B5074F">
          <w:rPr>
            <w:rStyle w:val="Hypertextovprepojenie"/>
            <w:bCs/>
          </w:rPr>
          <w:t>.</w:t>
        </w:r>
      </w:hyperlink>
      <w:r w:rsidRPr="00B5074F">
        <w:rPr>
          <w:bCs/>
        </w:rPr>
        <w:t>, ktorou sa vykonáva </w:t>
      </w:r>
      <w:hyperlink r:id="rId6" w:history="1">
        <w:r w:rsidRPr="00B5074F">
          <w:rPr>
            <w:rStyle w:val="Hypertextovprepojenie"/>
            <w:bCs/>
          </w:rPr>
          <w:t xml:space="preserve">§ 27 zákona č. 220/2004 </w:t>
        </w:r>
        <w:proofErr w:type="spellStart"/>
        <w:r w:rsidRPr="00B5074F">
          <w:rPr>
            <w:rStyle w:val="Hypertextovprepojenie"/>
            <w:bCs/>
          </w:rPr>
          <w:t>Z.z</w:t>
        </w:r>
        <w:proofErr w:type="spellEnd"/>
        <w:r w:rsidRPr="00B5074F">
          <w:rPr>
            <w:rStyle w:val="Hypertextovprepojenie"/>
            <w:bCs/>
          </w:rPr>
          <w:t>.</w:t>
        </w:r>
      </w:hyperlink>
      <w:r w:rsidRPr="00B5074F">
        <w:rPr>
          <w:bCs/>
        </w:rPr>
        <w:t> o ochrane a využívaní poľnohospodárskej pôdy a o zmene zákona č. </w:t>
      </w:r>
      <w:hyperlink r:id="rId7" w:history="1">
        <w:r w:rsidRPr="00B5074F">
          <w:rPr>
            <w:rStyle w:val="Hypertextovprepojenie"/>
            <w:bCs/>
          </w:rPr>
          <w:t xml:space="preserve">245/2003 </w:t>
        </w:r>
        <w:proofErr w:type="spellStart"/>
        <w:r w:rsidRPr="00B5074F">
          <w:rPr>
            <w:rStyle w:val="Hypertextovprepojenie"/>
            <w:bCs/>
          </w:rPr>
          <w:t>Z.z</w:t>
        </w:r>
        <w:proofErr w:type="spellEnd"/>
        <w:r w:rsidRPr="00B5074F">
          <w:rPr>
            <w:rStyle w:val="Hypertextovprepojenie"/>
            <w:bCs/>
          </w:rPr>
          <w:t>.</w:t>
        </w:r>
      </w:hyperlink>
      <w:r w:rsidRPr="00B5074F">
        <w:rPr>
          <w:bCs/>
        </w:rPr>
        <w:t> o integrovanej prevencii a kontrole znečisťovania životného prostredia a o zmene a doplnení niektorých zákonov</w:t>
      </w:r>
    </w:p>
    <w:p w:rsidR="002B67F8" w:rsidRDefault="002B67F8" w:rsidP="002B67F8">
      <w:pPr>
        <w:pStyle w:val="Nadpis2"/>
      </w:pPr>
    </w:p>
    <w:p w:rsidR="002B67F8" w:rsidRDefault="002B67F8" w:rsidP="002B67F8">
      <w:pPr>
        <w:pStyle w:val="xl28"/>
        <w:tabs>
          <w:tab w:val="left" w:pos="10440"/>
          <w:tab w:val="left" w:pos="10800"/>
        </w:tabs>
        <w:spacing w:before="0" w:beforeAutospacing="0" w:after="200" w:afterAutospacing="0"/>
        <w:jc w:val="both"/>
        <w:textAlignment w:val="auto"/>
        <w:rPr>
          <w:rFonts w:ascii="Times New Roman" w:hAnsi="Times New Roman" w:cs="Times New Roman"/>
          <w:b/>
          <w:lang w:val="sk-SK"/>
        </w:rPr>
      </w:pPr>
      <w:r w:rsidRPr="009D5683">
        <w:rPr>
          <w:rFonts w:ascii="Times New Roman" w:hAnsi="Times New Roman" w:cs="Times New Roman"/>
          <w:b/>
          <w:lang w:val="sk-SK"/>
        </w:rPr>
        <w:t xml:space="preserve">Doklady pre </w:t>
      </w:r>
      <w:r>
        <w:rPr>
          <w:rFonts w:ascii="Times New Roman" w:hAnsi="Times New Roman" w:cs="Times New Roman"/>
          <w:b/>
          <w:lang w:val="sk-SK"/>
        </w:rPr>
        <w:t>vypracovanie odborného stanoviska</w:t>
      </w:r>
    </w:p>
    <w:p w:rsidR="002B67F8" w:rsidRDefault="002B67F8" w:rsidP="002B67F8">
      <w:pPr>
        <w:autoSpaceDE w:val="0"/>
        <w:autoSpaceDN w:val="0"/>
        <w:adjustRightInd w:val="0"/>
        <w:jc w:val="both"/>
      </w:pPr>
      <w:r>
        <w:t xml:space="preserve">Pre </w:t>
      </w:r>
      <w:r w:rsidRPr="00421474">
        <w:t>vypracovanie odborného stanoviska ÚKSÚP vyžaduje</w:t>
      </w:r>
      <w:r>
        <w:t>:</w:t>
      </w:r>
    </w:p>
    <w:p w:rsidR="002B67F8" w:rsidRDefault="002B67F8" w:rsidP="002B67F8">
      <w:pPr>
        <w:numPr>
          <w:ilvl w:val="0"/>
          <w:numId w:val="6"/>
        </w:numPr>
      </w:pPr>
      <w:r>
        <w:t>Žiadosť o vypracovanie odborného stanoviska s uvedením identifikačných údajov (názov/meno, adresa, IČO, DIČ) a IBAN</w:t>
      </w:r>
    </w:p>
    <w:p w:rsidR="002B67F8" w:rsidRDefault="002B67F8" w:rsidP="002B67F8">
      <w:pPr>
        <w:numPr>
          <w:ilvl w:val="0"/>
          <w:numId w:val="6"/>
        </w:numPr>
      </w:pPr>
      <w:r>
        <w:t>Projektová dokumentácia na výsadbu ovocného sadu</w:t>
      </w:r>
    </w:p>
    <w:p w:rsidR="002B67F8" w:rsidRDefault="002B67F8" w:rsidP="002B67F8">
      <w:pPr>
        <w:pStyle w:val="xl28"/>
        <w:tabs>
          <w:tab w:val="num" w:pos="720"/>
          <w:tab w:val="left" w:pos="10440"/>
          <w:tab w:val="left" w:pos="10800"/>
        </w:tabs>
        <w:spacing w:before="0" w:beforeAutospacing="0" w:after="0" w:afterAutospacing="0"/>
        <w:jc w:val="both"/>
        <w:textAlignment w:val="auto"/>
        <w:rPr>
          <w:rFonts w:ascii="Times New Roman" w:hAnsi="Times New Roman" w:cs="Times New Roman"/>
          <w:b/>
          <w:lang w:val="sk-SK"/>
        </w:rPr>
      </w:pPr>
    </w:p>
    <w:p w:rsidR="002B67F8" w:rsidRDefault="002B67F8" w:rsidP="002B67F8">
      <w:pPr>
        <w:pStyle w:val="xl28"/>
        <w:tabs>
          <w:tab w:val="num" w:pos="720"/>
          <w:tab w:val="left" w:pos="10440"/>
          <w:tab w:val="left" w:pos="10800"/>
        </w:tabs>
        <w:spacing w:before="0" w:beforeAutospacing="0" w:after="0" w:afterAutospacing="0"/>
        <w:jc w:val="both"/>
        <w:textAlignment w:val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Kategórie ovocných sadov pre účely vypracovania odborných stanovísk podľa výmery: </w:t>
      </w:r>
    </w:p>
    <w:p w:rsidR="002B67F8" w:rsidRDefault="002B67F8" w:rsidP="002B67F8">
      <w:pPr>
        <w:numPr>
          <w:ilvl w:val="0"/>
          <w:numId w:val="5"/>
        </w:numPr>
      </w:pPr>
      <w:r w:rsidRPr="0030242B">
        <w:t>ovocný sad do 1 ha</w:t>
      </w:r>
    </w:p>
    <w:p w:rsidR="002B67F8" w:rsidRDefault="002B67F8" w:rsidP="002B67F8">
      <w:pPr>
        <w:numPr>
          <w:ilvl w:val="0"/>
          <w:numId w:val="5"/>
        </w:numPr>
      </w:pPr>
      <w:r>
        <w:t>ovocný sad 1 – 10 ha</w:t>
      </w:r>
    </w:p>
    <w:p w:rsidR="002B67F8" w:rsidRDefault="002B67F8" w:rsidP="002B67F8">
      <w:pPr>
        <w:numPr>
          <w:ilvl w:val="0"/>
          <w:numId w:val="5"/>
        </w:numPr>
      </w:pPr>
      <w:r>
        <w:t>ovocný sad  nad 10 ha</w:t>
      </w:r>
    </w:p>
    <w:p w:rsidR="002B67F8" w:rsidRDefault="002B67F8" w:rsidP="002B67F8">
      <w:pPr>
        <w:rPr>
          <w:b/>
        </w:rPr>
      </w:pPr>
    </w:p>
    <w:p w:rsidR="002B67F8" w:rsidRPr="00A81083" w:rsidRDefault="002B67F8" w:rsidP="002B67F8">
      <w:r>
        <w:t>Projektová dokumentácia má</w:t>
      </w:r>
      <w:r w:rsidRPr="00A81083">
        <w:t xml:space="preserve"> obsahovať rozsah údajov podľa veľkosti projektovanej plochy.</w:t>
      </w:r>
    </w:p>
    <w:p w:rsidR="002B67F8" w:rsidRPr="00020E54" w:rsidRDefault="002B67F8" w:rsidP="002B67F8">
      <w:pPr>
        <w:pStyle w:val="Zkladntext"/>
        <w:jc w:val="left"/>
        <w:rPr>
          <w:b w:val="0"/>
          <w:sz w:val="24"/>
          <w:szCs w:val="24"/>
        </w:rPr>
      </w:pPr>
      <w:r w:rsidRPr="00020E54">
        <w:rPr>
          <w:b w:val="0"/>
          <w:sz w:val="24"/>
          <w:szCs w:val="24"/>
        </w:rPr>
        <w:t>Prehľad odporúčaného rozsahu v projektovej dokumentácii</w:t>
      </w:r>
      <w:r>
        <w:rPr>
          <w:b w:val="0"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134"/>
        <w:gridCol w:w="1134"/>
        <w:gridCol w:w="1134"/>
      </w:tblGrid>
      <w:tr w:rsidR="002B67F8" w:rsidRPr="00EC38EC" w:rsidTr="00B934C6">
        <w:trPr>
          <w:trHeight w:val="558"/>
        </w:trPr>
        <w:tc>
          <w:tcPr>
            <w:tcW w:w="6062" w:type="dxa"/>
            <w:vMerge w:val="restart"/>
            <w:shd w:val="clear" w:color="auto" w:fill="auto"/>
            <w:vAlign w:val="center"/>
          </w:tcPr>
          <w:p w:rsidR="002B67F8" w:rsidRPr="00EC38EC" w:rsidRDefault="002B67F8" w:rsidP="005A0C9E">
            <w:pPr>
              <w:pStyle w:val="Zklad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  <w:r w:rsidRPr="00EC38EC">
              <w:rPr>
                <w:sz w:val="24"/>
                <w:szCs w:val="24"/>
              </w:rPr>
              <w:t>daj</w:t>
            </w:r>
            <w:r>
              <w:rPr>
                <w:sz w:val="24"/>
                <w:szCs w:val="24"/>
              </w:rPr>
              <w:t>e</w:t>
            </w:r>
            <w:r w:rsidR="005A0C9E">
              <w:rPr>
                <w:sz w:val="24"/>
                <w:szCs w:val="24"/>
              </w:rPr>
              <w:t xml:space="preserve"> v</w:t>
            </w:r>
            <w:r w:rsidRPr="00EC38EC">
              <w:rPr>
                <w:sz w:val="24"/>
                <w:szCs w:val="24"/>
              </w:rPr>
              <w:t xml:space="preserve"> projektovej dokumentácii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center"/>
              <w:rPr>
                <w:sz w:val="24"/>
                <w:szCs w:val="24"/>
              </w:rPr>
            </w:pPr>
            <w:r w:rsidRPr="00EC38EC">
              <w:rPr>
                <w:sz w:val="24"/>
                <w:szCs w:val="24"/>
              </w:rPr>
              <w:t>Výmera ovocného sadu</w:t>
            </w:r>
          </w:p>
        </w:tc>
      </w:tr>
      <w:tr w:rsidR="002B67F8" w:rsidRPr="00EC38EC" w:rsidTr="00B934C6">
        <w:trPr>
          <w:trHeight w:hRule="exact" w:val="397"/>
        </w:trPr>
        <w:tc>
          <w:tcPr>
            <w:tcW w:w="6062" w:type="dxa"/>
            <w:vMerge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020E54" w:rsidRDefault="002B67F8" w:rsidP="00B934C6">
            <w:pPr>
              <w:pStyle w:val="Zkladntext"/>
              <w:ind w:left="-113" w:right="-113"/>
              <w:jc w:val="center"/>
              <w:rPr>
                <w:sz w:val="24"/>
                <w:szCs w:val="24"/>
              </w:rPr>
            </w:pPr>
            <w:r w:rsidRPr="00020E54">
              <w:rPr>
                <w:sz w:val="24"/>
                <w:szCs w:val="24"/>
              </w:rPr>
              <w:t>do 1 ha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020E54" w:rsidRDefault="002B67F8" w:rsidP="00B934C6">
            <w:pPr>
              <w:pStyle w:val="Zkladntext"/>
              <w:ind w:left="-113" w:right="-113"/>
              <w:jc w:val="center"/>
              <w:rPr>
                <w:sz w:val="24"/>
                <w:szCs w:val="24"/>
              </w:rPr>
            </w:pPr>
            <w:r w:rsidRPr="00020E54">
              <w:rPr>
                <w:sz w:val="24"/>
                <w:szCs w:val="24"/>
              </w:rPr>
              <w:t>1 - 10 ha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020E54" w:rsidRDefault="002B67F8" w:rsidP="00B934C6">
            <w:pPr>
              <w:pStyle w:val="Zkladntext"/>
              <w:ind w:left="-113" w:right="-113"/>
              <w:jc w:val="center"/>
              <w:rPr>
                <w:sz w:val="24"/>
                <w:szCs w:val="24"/>
              </w:rPr>
            </w:pPr>
            <w:r w:rsidRPr="00020E54">
              <w:rPr>
                <w:sz w:val="24"/>
                <w:szCs w:val="24"/>
              </w:rPr>
              <w:t>nad 10 ha</w:t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 xml:space="preserve">Identifikačné údaje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center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r w:rsidRPr="00EC38EC">
              <w:t>Názov projektovej dokumentácie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r w:rsidRPr="00EC38EC">
              <w:t>Investor / žiadateľ/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r w:rsidRPr="00EC38EC">
              <w:t>Projektant</w:t>
            </w:r>
            <w:r>
              <w:t>/ Spracovateľ dokumentácie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center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r w:rsidRPr="00EC38EC">
              <w:t xml:space="preserve">Prehľad užívateľov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r w:rsidRPr="00EC38EC">
              <w:t>Kraj / Okres / Obec /Katastrálne územie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r w:rsidRPr="00EC38EC">
              <w:t>Parcelné čísla podľa registra C alebo 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Výmera ovocného sadu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Termín začatia a dokončenia výsadby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449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suppressAutoHyphens/>
              <w:jc w:val="both"/>
            </w:pPr>
            <w:r w:rsidRPr="00EC38EC">
              <w:t>Popis územia – prírodné, pôdne a klimatické pomery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Lokalizácia v LPIS – kultúrny diel a názov štvorca (lokality)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center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sym w:font="Wingdings 2" w:char="F0CF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Vykonané prieskumy a ich dôsledky  (rozbor pôdy a pod.)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center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sym w:font="Wingdings 2" w:char="F0CF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sym w:font="Wingdings 2" w:char="F0CF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83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Zastúpenie ovocných druhov, odrôd, podpníkov, pestovateľský   tvar, hustota výsadby - spon, intenzita, technológia pestovania,    obrábanie pôdy, a pod.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Údaje charakterizujúce výsadbu a využitie produkcie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644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Predvýsadbová príprava pôdy, výsadba a ošetrovanie po výsadbe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417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Časový harmonogram prác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Ekonomické zhodnotenie, ekonomická návratnosť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sym w:font="Wingdings 2" w:char="F0CF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>Vplyv na životné prostredie, ochranné pásma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sym w:font="Wingdings 2" w:char="F0CF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sym w:font="Wingdings 2" w:char="F0CF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601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t xml:space="preserve">Situačná mapa výsadby - </w:t>
            </w:r>
            <w:r>
              <w:rPr>
                <w:b w:val="0"/>
                <w:sz w:val="24"/>
                <w:szCs w:val="24"/>
              </w:rPr>
              <w:t>u</w:t>
            </w:r>
            <w:r w:rsidRPr="00EC38EC">
              <w:rPr>
                <w:b w:val="0"/>
                <w:sz w:val="24"/>
                <w:szCs w:val="24"/>
              </w:rPr>
              <w:t>miestne</w:t>
            </w:r>
            <w:r>
              <w:rPr>
                <w:b w:val="0"/>
                <w:sz w:val="24"/>
                <w:szCs w:val="24"/>
              </w:rPr>
              <w:t>nie sadu v teréne -</w:t>
            </w:r>
            <w:r w:rsidRPr="00EC38EC">
              <w:rPr>
                <w:b w:val="0"/>
                <w:sz w:val="24"/>
                <w:szCs w:val="24"/>
              </w:rPr>
              <w:t xml:space="preserve"> je zvyčajne kópiou predmetného územia z pozemkovej mapy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  <w:tr w:rsidR="002B67F8" w:rsidRPr="00EC38EC" w:rsidTr="00B934C6">
        <w:trPr>
          <w:trHeight w:hRule="exact" w:val="340"/>
        </w:trPr>
        <w:tc>
          <w:tcPr>
            <w:tcW w:w="6062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lastRenderedPageBreak/>
              <w:t>Celkové náklady na výsadbu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pStyle w:val="Zkladntext"/>
              <w:jc w:val="center"/>
              <w:rPr>
                <w:b w:val="0"/>
                <w:sz w:val="24"/>
                <w:szCs w:val="24"/>
              </w:rPr>
            </w:pPr>
            <w:r w:rsidRPr="00EC38EC">
              <w:rPr>
                <w:b w:val="0"/>
                <w:sz w:val="24"/>
                <w:szCs w:val="24"/>
              </w:rPr>
              <w:sym w:font="Wingdings 2" w:char="F0CF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7F8" w:rsidRPr="00EC38EC" w:rsidRDefault="002B67F8" w:rsidP="00B934C6">
            <w:pPr>
              <w:jc w:val="center"/>
            </w:pPr>
            <w:r w:rsidRPr="00EC38EC">
              <w:rPr>
                <w:b/>
              </w:rPr>
              <w:sym w:font="Wingdings 2" w:char="F097"/>
            </w:r>
          </w:p>
        </w:tc>
      </w:tr>
    </w:tbl>
    <w:p w:rsidR="002B67F8" w:rsidRPr="00A45E90" w:rsidRDefault="002B67F8" w:rsidP="002B67F8">
      <w:pPr>
        <w:jc w:val="both"/>
      </w:pPr>
      <w:r w:rsidRPr="00A45E90">
        <w:rPr>
          <w:spacing w:val="-2"/>
        </w:rPr>
        <w:t xml:space="preserve">Legenda: </w:t>
      </w:r>
      <w:r w:rsidRPr="00A45E90">
        <w:sym w:font="Wingdings 2" w:char="F097"/>
      </w:r>
      <w:r>
        <w:t xml:space="preserve"> - </w:t>
      </w:r>
      <w:r w:rsidRPr="00A45E90">
        <w:rPr>
          <w:spacing w:val="-2"/>
        </w:rPr>
        <w:t xml:space="preserve">musí obsahovať údaj, </w:t>
      </w:r>
      <w:r w:rsidRPr="00A45E90">
        <w:rPr>
          <w:spacing w:val="-2"/>
        </w:rPr>
        <w:sym w:font="Wingdings 2" w:char="F0CF"/>
      </w:r>
      <w:r>
        <w:rPr>
          <w:spacing w:val="-2"/>
        </w:rPr>
        <w:t xml:space="preserve"> -</w:t>
      </w:r>
      <w:r w:rsidRPr="00A45E90">
        <w:rPr>
          <w:spacing w:val="-2"/>
        </w:rPr>
        <w:t xml:space="preserve"> nemusí obsahovať údaj</w:t>
      </w:r>
    </w:p>
    <w:p w:rsidR="002B67F8" w:rsidRDefault="002B67F8" w:rsidP="002B67F8">
      <w:pPr>
        <w:pStyle w:val="Zkladntext"/>
        <w:rPr>
          <w:b w:val="0"/>
          <w:color w:val="000080"/>
          <w:sz w:val="24"/>
          <w:szCs w:val="24"/>
        </w:rPr>
      </w:pPr>
    </w:p>
    <w:p w:rsidR="002B67F8" w:rsidRPr="00EC38EC" w:rsidRDefault="002B67F8" w:rsidP="002B67F8">
      <w:pPr>
        <w:pStyle w:val="Zkladntext"/>
        <w:spacing w:after="240"/>
        <w:rPr>
          <w:b w:val="0"/>
          <w:sz w:val="24"/>
          <w:szCs w:val="24"/>
        </w:rPr>
      </w:pPr>
      <w:r w:rsidRPr="00EC38EC">
        <w:rPr>
          <w:b w:val="0"/>
          <w:sz w:val="24"/>
          <w:szCs w:val="24"/>
        </w:rPr>
        <w:t>Ovocný sad je poľnohospodárska kultúra, ktorá sa pestuje na jednom pozemku viac rokov. Je dôležité, aby sa rešpektovali základné požiadavky ovocných druhov.</w:t>
      </w:r>
    </w:p>
    <w:p w:rsidR="002B67F8" w:rsidRPr="00A15F8A" w:rsidRDefault="002B67F8" w:rsidP="002B67F8">
      <w:pPr>
        <w:pStyle w:val="Nadpis1"/>
        <w:spacing w:before="0" w:after="0"/>
        <w:jc w:val="both"/>
        <w:rPr>
          <w:rFonts w:cs="Times New Roman"/>
          <w:b w:val="0"/>
          <w:sz w:val="24"/>
          <w:szCs w:val="24"/>
        </w:rPr>
      </w:pPr>
      <w:r w:rsidRPr="005776D7">
        <w:rPr>
          <w:rFonts w:cs="Times New Roman"/>
          <w:b w:val="0"/>
          <w:sz w:val="24"/>
          <w:szCs w:val="24"/>
        </w:rPr>
        <w:t xml:space="preserve">Z hľadiska rajonizácie by sa mali pestovať ovocné druhy podľa ekologických faktorov a požiadaviek, v optimálnych klimatických podmienkach. Pri spracovaní rajonizácie v päťdesiatych rokoch boli pre ovocné druhy vybrané </w:t>
      </w:r>
      <w:r w:rsidRPr="005776D7">
        <w:rPr>
          <w:rFonts w:cs="Times New Roman"/>
          <w:b w:val="0"/>
          <w:sz w:val="24"/>
          <w:szCs w:val="24"/>
          <w:u w:val="single"/>
        </w:rPr>
        <w:t>4 zóny vhodnosti</w:t>
      </w:r>
      <w:r w:rsidRPr="005776D7">
        <w:rPr>
          <w:rFonts w:cs="Times New Roman"/>
          <w:b w:val="0"/>
          <w:sz w:val="24"/>
          <w:szCs w:val="24"/>
        </w:rPr>
        <w:t xml:space="preserve">: </w:t>
      </w:r>
      <w:r>
        <w:rPr>
          <w:rFonts w:cs="Times New Roman"/>
          <w:b w:val="0"/>
          <w:sz w:val="24"/>
          <w:szCs w:val="24"/>
        </w:rPr>
        <w:t xml:space="preserve"> </w:t>
      </w:r>
      <w:r w:rsidRPr="00A15F8A">
        <w:rPr>
          <w:rFonts w:cs="Times New Roman"/>
          <w:b w:val="0"/>
          <w:sz w:val="24"/>
          <w:szCs w:val="24"/>
        </w:rPr>
        <w:t xml:space="preserve">/Hronský, </w:t>
      </w:r>
      <w:proofErr w:type="spellStart"/>
      <w:r w:rsidRPr="00A15F8A">
        <w:rPr>
          <w:rFonts w:cs="Times New Roman"/>
          <w:b w:val="0"/>
          <w:sz w:val="24"/>
          <w:szCs w:val="24"/>
        </w:rPr>
        <w:t>Pintér</w:t>
      </w:r>
      <w:proofErr w:type="spellEnd"/>
      <w:r w:rsidRPr="00A15F8A">
        <w:rPr>
          <w:rFonts w:cs="Times New Roman"/>
          <w:b w:val="0"/>
          <w:sz w:val="24"/>
          <w:szCs w:val="24"/>
        </w:rPr>
        <w:t>, Projektovanie ovocných sadov a vinohradov, učebné texty pre dištančné štúdium a ostatné formy vzdelávania, SPU Nitra, 2000/</w:t>
      </w:r>
    </w:p>
    <w:p w:rsidR="002B67F8" w:rsidRPr="00EC38EC" w:rsidRDefault="002B67F8" w:rsidP="002B67F8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</w:pPr>
      <w:r w:rsidRPr="00EC38EC">
        <w:t xml:space="preserve">V I. zóne sú zahrnuté oblasti s optimálnymi podmienkami pre pestovanie ovocných druhov z hľadiska všetkých životne dôležitých faktorov.  Sú to polohy s nadmorskou výškou do 200 – 350 m až do 450 m n/m podľa požiadaviek ovocných druhov. Suma ročných zrážok podľa polohy a lokality sa pohybuje  450 – 650 mm, pri priemernej teplote nad 8 °C. Patria sem repárske a kukuričné oblasti. </w:t>
      </w:r>
    </w:p>
    <w:p w:rsidR="002B67F8" w:rsidRPr="00EC38EC" w:rsidRDefault="002B67F8" w:rsidP="002B67F8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color w:val="000080"/>
          <w:spacing w:val="-2"/>
        </w:rPr>
      </w:pPr>
      <w:r w:rsidRPr="00EC38EC">
        <w:rPr>
          <w:spacing w:val="-2"/>
        </w:rPr>
        <w:t xml:space="preserve">V II. zóne sú niektoré faktory menej vhodné. Pri dobrej agrotechnike je možné dosiahnuť pravidelné a kvalitné úrody pestovaného ovocného druhu. Väčšinou sa nachádza v nadmorskej výške od 450 - 550 m až do 600 m n/m. Pre druhy s vyššími nárokmi na teplo môže byť aj nadmorská výška 350 – 400 zahrnutá do 2. </w:t>
      </w:r>
      <w:r w:rsidRPr="00EC38EC">
        <w:rPr>
          <w:spacing w:val="-4"/>
        </w:rPr>
        <w:t>zóny</w:t>
      </w:r>
      <w:r w:rsidRPr="00EC38EC">
        <w:rPr>
          <w:spacing w:val="-2"/>
        </w:rPr>
        <w:t xml:space="preserve"> vhodnosti /čerešne/. Suma ročných zrážok 500-800 mm, priemerná ročná teplota nad 7 – 8 </w:t>
      </w:r>
      <w:proofErr w:type="spellStart"/>
      <w:r w:rsidRPr="00EC38EC">
        <w:rPr>
          <w:spacing w:val="-2"/>
          <w:vertAlign w:val="superscript"/>
        </w:rPr>
        <w:t>o</w:t>
      </w:r>
      <w:r w:rsidRPr="00EC38EC">
        <w:rPr>
          <w:spacing w:val="-2"/>
        </w:rPr>
        <w:t>C</w:t>
      </w:r>
      <w:proofErr w:type="spellEnd"/>
      <w:r w:rsidRPr="00EC38EC">
        <w:rPr>
          <w:spacing w:val="-2"/>
        </w:rPr>
        <w:t xml:space="preserve">. </w:t>
      </w:r>
    </w:p>
    <w:p w:rsidR="002B67F8" w:rsidRPr="00EC38EC" w:rsidRDefault="002B67F8" w:rsidP="002B67F8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color w:val="000080"/>
        </w:rPr>
      </w:pPr>
      <w:r w:rsidRPr="00EC38EC">
        <w:t xml:space="preserve">III.  zóna bola vybraná pre rekreačné a samozásobiteľské systémy (ovocie v záhradách). Táto zóna nie je vhodná pre zakladanie intenzívnych ovocných sadov. Tretia zóna zahŕňa vyššie polohy v zemiakarskej výrobnej oblasti  s nadmorskou výškou do 700 m. Priemerné ročné teploty sú 5-7 </w:t>
      </w:r>
      <w:proofErr w:type="spellStart"/>
      <w:r w:rsidRPr="00EC38EC">
        <w:rPr>
          <w:vertAlign w:val="superscript"/>
        </w:rPr>
        <w:t>o</w:t>
      </w:r>
      <w:r w:rsidRPr="00EC38EC">
        <w:t>C</w:t>
      </w:r>
      <w:proofErr w:type="spellEnd"/>
      <w:r w:rsidRPr="00EC38EC">
        <w:t xml:space="preserve"> a zrážky 800-900 mm. </w:t>
      </w:r>
    </w:p>
    <w:p w:rsidR="002B67F8" w:rsidRPr="00EC38EC" w:rsidRDefault="002B67F8" w:rsidP="002B67F8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</w:pPr>
      <w:r w:rsidRPr="00EC38EC">
        <w:t xml:space="preserve">V IV.  zóne vhodnosti sa určité ovocné druhy neodporúčajú pestovať. </w:t>
      </w:r>
    </w:p>
    <w:p w:rsidR="002B67F8" w:rsidRPr="00EC38EC" w:rsidRDefault="002B67F8" w:rsidP="002B67F8">
      <w:pPr>
        <w:pStyle w:val="Zkladntext"/>
        <w:ind w:firstLine="709"/>
        <w:rPr>
          <w:b w:val="0"/>
          <w:sz w:val="24"/>
          <w:szCs w:val="24"/>
        </w:rPr>
      </w:pPr>
    </w:p>
    <w:p w:rsidR="002B67F8" w:rsidRPr="00EC38EC" w:rsidRDefault="002B67F8" w:rsidP="002B67F8">
      <w:pPr>
        <w:jc w:val="both"/>
      </w:pPr>
      <w:r w:rsidRPr="00EC38EC">
        <w:t xml:space="preserve">Projektová dokumentácia musí okrem identifikačných údajov obsahovať v primeranom rozsahu: </w:t>
      </w:r>
    </w:p>
    <w:p w:rsidR="002B67F8" w:rsidRPr="00304915" w:rsidRDefault="002B67F8" w:rsidP="002B67F8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</w:pPr>
      <w:r w:rsidRPr="00304915">
        <w:t xml:space="preserve">popis záujmového územia: </w:t>
      </w:r>
    </w:p>
    <w:p w:rsidR="002B67F8" w:rsidRPr="00304915" w:rsidRDefault="002B67F8" w:rsidP="002B67F8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</w:pPr>
      <w:r w:rsidRPr="00304915">
        <w:t xml:space="preserve">veľkosť, číslo parcely, kataster, uviesť prípadnú väzbu na už existujúci sad, </w:t>
      </w:r>
    </w:p>
    <w:p w:rsidR="002B67F8" w:rsidRPr="00304915" w:rsidRDefault="002B67F8" w:rsidP="002B67F8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</w:pPr>
      <w:r w:rsidRPr="00304915">
        <w:rPr>
          <w:spacing w:val="-2"/>
        </w:rPr>
        <w:t xml:space="preserve">popis lokality - </w:t>
      </w:r>
      <w:r w:rsidRPr="00304915">
        <w:t>prírodné, pôdne, hydrologické a klimatické pomery, lokalizáciu v LPIS, BPEJ</w:t>
      </w:r>
    </w:p>
    <w:p w:rsidR="002B67F8" w:rsidRPr="00304915" w:rsidRDefault="002B67F8" w:rsidP="002B67F8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</w:pPr>
      <w:r w:rsidRPr="00304915">
        <w:t>charakteristiku výsadby: ovocné druhy, odrody, spon výsadby, podpník, počet jedincov, kvalita biologického materiálu – ak je známa, predpokladaný vstup do rodivosti, určenie produkcie - trh na ktorý bude produkcia ovocia určená, intenzita výsadby.</w:t>
      </w:r>
    </w:p>
    <w:p w:rsidR="002B67F8" w:rsidRPr="00304915" w:rsidRDefault="002B67F8" w:rsidP="002B67F8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</w:pPr>
      <w:r w:rsidRPr="00304915">
        <w:t xml:space="preserve">technické vybavenie sadu: či bude ovocný sad mať technické vybavenie, medzi ktoré patrí napr. vybudovanie oplotenia, oporná konštrukcia, závlaha, budovanie studní,  </w:t>
      </w:r>
      <w:proofErr w:type="spellStart"/>
      <w:r w:rsidRPr="00304915">
        <w:t>protimrazová</w:t>
      </w:r>
      <w:proofErr w:type="spellEnd"/>
      <w:r w:rsidRPr="00304915">
        <w:t xml:space="preserve"> a </w:t>
      </w:r>
      <w:proofErr w:type="spellStart"/>
      <w:r w:rsidRPr="00304915">
        <w:t>protiľadovcová</w:t>
      </w:r>
      <w:proofErr w:type="spellEnd"/>
      <w:r w:rsidRPr="00304915">
        <w:t xml:space="preserve"> ochrana a pod.</w:t>
      </w:r>
    </w:p>
    <w:p w:rsidR="002B67F8" w:rsidRPr="00304915" w:rsidRDefault="002B67F8" w:rsidP="002B67F8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</w:pPr>
      <w:r w:rsidRPr="00304915">
        <w:t xml:space="preserve">Situačná mapa výsadby je zvyčajne kópiou predmetného územia z pozemkovej mapy. Charakterizuje širšiu územnú polohu výsadby. </w:t>
      </w:r>
    </w:p>
    <w:p w:rsidR="002B67F8" w:rsidRDefault="002B67F8" w:rsidP="002B67F8">
      <w:pPr>
        <w:autoSpaceDE w:val="0"/>
        <w:autoSpaceDN w:val="0"/>
        <w:adjustRightInd w:val="0"/>
        <w:jc w:val="both"/>
      </w:pPr>
    </w:p>
    <w:p w:rsidR="002B67F8" w:rsidRDefault="002B67F8" w:rsidP="002B67F8">
      <w:pPr>
        <w:jc w:val="both"/>
      </w:pPr>
      <w:r>
        <w:t>Vypracovanie o</w:t>
      </w:r>
      <w:r w:rsidRPr="00CC0EE2">
        <w:t>dborn</w:t>
      </w:r>
      <w:r w:rsidR="005A0C9E">
        <w:t>ého stanoviska k</w:t>
      </w:r>
      <w:bookmarkStart w:id="0" w:name="_GoBack"/>
      <w:bookmarkEnd w:id="0"/>
      <w:r w:rsidRPr="00CC0EE2">
        <w:t xml:space="preserve"> projektovej dokumentáci</w:t>
      </w:r>
      <w:r>
        <w:t>i sa spoplatňuje podľa aktuálne platného cenníka ÚKSÚP.</w:t>
      </w:r>
    </w:p>
    <w:p w:rsidR="002B67F8" w:rsidRPr="00AB3394" w:rsidRDefault="002B67F8" w:rsidP="002B67F8"/>
    <w:p w:rsidR="002B67F8" w:rsidRDefault="002B67F8" w:rsidP="002B67F8">
      <w:pPr>
        <w:pStyle w:val="tlNadpis1"/>
        <w:numPr>
          <w:ilvl w:val="0"/>
          <w:numId w:val="0"/>
        </w:numPr>
        <w:spacing w:after="240"/>
        <w:jc w:val="both"/>
        <w:rPr>
          <w:b w:val="0"/>
          <w:color w:val="FF0000"/>
          <w:sz w:val="24"/>
          <w:szCs w:val="24"/>
          <w:lang w:eastAsia="sk-SK"/>
        </w:rPr>
      </w:pPr>
    </w:p>
    <w:p w:rsidR="0012258B" w:rsidRDefault="0012258B"/>
    <w:sectPr w:rsidR="0012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D7E"/>
    <w:multiLevelType w:val="hybridMultilevel"/>
    <w:tmpl w:val="89A03B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73E96"/>
    <w:multiLevelType w:val="multilevel"/>
    <w:tmpl w:val="BDF8771C"/>
    <w:lvl w:ilvl="0">
      <w:start w:val="1"/>
      <w:numFmt w:val="decimal"/>
      <w:pStyle w:val="tlNadpis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Nadpis2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56F1D84"/>
    <w:multiLevelType w:val="hybridMultilevel"/>
    <w:tmpl w:val="FEEE97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3086"/>
    <w:multiLevelType w:val="multilevel"/>
    <w:tmpl w:val="9A6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B0118"/>
    <w:multiLevelType w:val="hybridMultilevel"/>
    <w:tmpl w:val="5B6466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A0143"/>
    <w:multiLevelType w:val="hybridMultilevel"/>
    <w:tmpl w:val="201403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0BF0"/>
    <w:multiLevelType w:val="hybridMultilevel"/>
    <w:tmpl w:val="43EC00F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F8"/>
    <w:rsid w:val="0012258B"/>
    <w:rsid w:val="002B67F8"/>
    <w:rsid w:val="0045648C"/>
    <w:rsid w:val="005042CC"/>
    <w:rsid w:val="005A0C9E"/>
    <w:rsid w:val="00A3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497D"/>
  <w15:chartTrackingRefBased/>
  <w15:docId w15:val="{8616EC44-65B6-4704-8B42-B8D30B42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042C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qFormat/>
    <w:rsid w:val="005042CC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042CC"/>
    <w:rPr>
      <w:rFonts w:ascii="Times New Roman" w:eastAsia="Times New Roman" w:hAnsi="Times New Roman" w:cs="Arial"/>
      <w:b/>
      <w:bCs/>
      <w:kern w:val="32"/>
      <w:sz w:val="28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5042C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2B67F8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2B67F8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2B67F8"/>
    <w:rPr>
      <w:color w:val="0000FF"/>
      <w:u w:val="single"/>
    </w:rPr>
  </w:style>
  <w:style w:type="paragraph" w:customStyle="1" w:styleId="xl28">
    <w:name w:val="xl28"/>
    <w:basedOn w:val="Normlny"/>
    <w:rsid w:val="002B67F8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n-US" w:eastAsia="en-US"/>
    </w:rPr>
  </w:style>
  <w:style w:type="paragraph" w:styleId="Normlnywebov">
    <w:name w:val="Normal (Web)"/>
    <w:basedOn w:val="Normlny"/>
    <w:uiPriority w:val="99"/>
    <w:rsid w:val="002B67F8"/>
  </w:style>
  <w:style w:type="paragraph" w:styleId="Bezriadkovania">
    <w:name w:val="No Spacing"/>
    <w:uiPriority w:val="1"/>
    <w:qFormat/>
    <w:rsid w:val="002B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Nadpis2">
    <w:name w:val="Štýl Nadpis2"/>
    <w:basedOn w:val="Odsekzoznamu"/>
    <w:qFormat/>
    <w:rsid w:val="002B67F8"/>
    <w:pPr>
      <w:numPr>
        <w:ilvl w:val="1"/>
        <w:numId w:val="4"/>
      </w:numPr>
      <w:tabs>
        <w:tab w:val="num" w:pos="360"/>
      </w:tabs>
      <w:spacing w:after="200" w:line="276" w:lineRule="auto"/>
      <w:ind w:left="720" w:firstLine="0"/>
    </w:pPr>
    <w:rPr>
      <w:b/>
      <w:szCs w:val="20"/>
      <w:lang w:eastAsia="cs-CZ"/>
    </w:rPr>
  </w:style>
  <w:style w:type="paragraph" w:customStyle="1" w:styleId="tlNadpis1">
    <w:name w:val="Štýl Nadpis1"/>
    <w:basedOn w:val="Normlny"/>
    <w:qFormat/>
    <w:rsid w:val="002B67F8"/>
    <w:pPr>
      <w:keepNext/>
      <w:keepLines/>
      <w:numPr>
        <w:numId w:val="4"/>
      </w:numPr>
      <w:spacing w:after="200" w:line="276" w:lineRule="auto"/>
      <w:outlineLvl w:val="0"/>
    </w:pPr>
    <w:rPr>
      <w:b/>
      <w:sz w:val="28"/>
      <w:szCs w:val="32"/>
      <w:lang w:eastAsia="en-US"/>
    </w:rPr>
  </w:style>
  <w:style w:type="paragraph" w:customStyle="1" w:styleId="Default">
    <w:name w:val="Default"/>
    <w:rsid w:val="002B67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B6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veaspi.sk/products/lawText/1/79667/1/ASPI%253A/245/2003%20Z.z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easpi.sk/products/lawText/1/79667/1/ASPI%253A/220/2004%20Z.z.%252327" TargetMode="External"/><Relationship Id="rId5" Type="http://schemas.openxmlformats.org/officeDocument/2006/relationships/hyperlink" Target="http://www.noveaspi.sk/products/lawText/1/79667/1/ASPI%253A/508/2004%20Z.z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Helena Ing. PhD</dc:creator>
  <cp:keywords/>
  <dc:description/>
  <cp:lastModifiedBy>Zámečníková Inez Ing.</cp:lastModifiedBy>
  <cp:revision>3</cp:revision>
  <dcterms:created xsi:type="dcterms:W3CDTF">2024-02-16T08:18:00Z</dcterms:created>
  <dcterms:modified xsi:type="dcterms:W3CDTF">2024-02-16T08:34:00Z</dcterms:modified>
</cp:coreProperties>
</file>